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2B" w:rsidRDefault="000C1E2B" w:rsidP="004531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Gostyń, dnia 04.03.2019 r.</w:t>
      </w: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Samodzielny Publiczny Zespół Opieki Zdrowotnej w Gostyniu,</w:t>
      </w: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Pl. K. Marcinkowskiego 8/9</w:t>
      </w: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63-800 Gostyń</w:t>
      </w: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Wykonawcy</w:t>
      </w: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Odpowiedzi na zadane pytania oraz zamieszczenie wzoru umowy na powierzenie przetwarzania danych.</w:t>
      </w: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</w:p>
    <w:p w:rsidR="009C3DA0" w:rsidRDefault="009C3DA0" w:rsidP="004531F8">
      <w:pPr>
        <w:rPr>
          <w:rFonts w:ascii="Trebuchet MS" w:hAnsi="Trebuchet MS"/>
          <w:sz w:val="20"/>
          <w:szCs w:val="20"/>
        </w:rPr>
      </w:pPr>
    </w:p>
    <w:p w:rsidR="004531F8" w:rsidRPr="00FB28E0" w:rsidRDefault="004531F8" w:rsidP="004531F8">
      <w:pPr>
        <w:rPr>
          <w:rFonts w:ascii="Trebuchet MS" w:hAnsi="Trebuchet MS"/>
          <w:sz w:val="20"/>
          <w:szCs w:val="20"/>
        </w:rPr>
      </w:pPr>
      <w:r w:rsidRPr="00FB28E0">
        <w:rPr>
          <w:rFonts w:ascii="Trebuchet MS" w:hAnsi="Trebuchet MS"/>
          <w:sz w:val="20"/>
          <w:szCs w:val="20"/>
        </w:rPr>
        <w:t xml:space="preserve">Dotyczy przetargu </w:t>
      </w:r>
      <w:r w:rsidRPr="00680B12">
        <w:rPr>
          <w:rFonts w:ascii="Trebuchet MS" w:hAnsi="Trebuchet MS"/>
          <w:sz w:val="20"/>
          <w:szCs w:val="20"/>
        </w:rPr>
        <w:t xml:space="preserve">na </w:t>
      </w:r>
      <w:r>
        <w:rPr>
          <w:rFonts w:ascii="Trebuchet MS" w:hAnsi="Trebuchet MS"/>
          <w:sz w:val="20"/>
          <w:szCs w:val="20"/>
        </w:rPr>
        <w:t>d</w:t>
      </w:r>
      <w:r w:rsidRPr="00BC2B7D">
        <w:rPr>
          <w:rFonts w:ascii="Trebuchet MS" w:hAnsi="Trebuchet MS"/>
          <w:sz w:val="20"/>
          <w:szCs w:val="20"/>
        </w:rPr>
        <w:t>ostawę trzech ambulansów sanitarnych typu C wraz z wyposażeniem</w:t>
      </w:r>
      <w:r>
        <w:rPr>
          <w:rFonts w:ascii="Trebuchet MS" w:hAnsi="Trebuchet MS"/>
          <w:sz w:val="20"/>
          <w:szCs w:val="20"/>
        </w:rPr>
        <w:t xml:space="preserve"> </w:t>
      </w:r>
      <w:r w:rsidRPr="00BC2B7D">
        <w:rPr>
          <w:rFonts w:ascii="Trebuchet MS" w:hAnsi="Trebuchet MS"/>
          <w:sz w:val="20"/>
          <w:szCs w:val="20"/>
        </w:rPr>
        <w:t>nr postępowania: SPZOZ-X-030”a”/227/18</w:t>
      </w:r>
      <w:r w:rsidRPr="00FB28E0">
        <w:rPr>
          <w:rFonts w:ascii="Trebuchet MS" w:hAnsi="Trebuchet MS"/>
          <w:sz w:val="20"/>
          <w:szCs w:val="20"/>
        </w:rPr>
        <w:t>.</w:t>
      </w:r>
    </w:p>
    <w:p w:rsidR="004531F8" w:rsidRPr="00FB28E0" w:rsidRDefault="004531F8" w:rsidP="004531F8">
      <w:pPr>
        <w:rPr>
          <w:rFonts w:ascii="Trebuchet MS" w:hAnsi="Trebuchet MS"/>
          <w:sz w:val="20"/>
          <w:szCs w:val="20"/>
        </w:rPr>
      </w:pPr>
    </w:p>
    <w:p w:rsidR="004531F8" w:rsidRPr="00C344C2" w:rsidRDefault="004531F8" w:rsidP="004531F8">
      <w:pPr>
        <w:widowControl/>
        <w:suppressAutoHyphens w:val="0"/>
        <w:ind w:firstLine="360"/>
        <w:jc w:val="both"/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</w:pPr>
      <w:r w:rsidRPr="00C344C2"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 xml:space="preserve">Z uwagi istotność pytań i </w:t>
      </w:r>
      <w:r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 xml:space="preserve">ich </w:t>
      </w:r>
      <w:r w:rsidRPr="00C344C2"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>wpływ na</w:t>
      </w:r>
      <w:r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 xml:space="preserve"> możliwość</w:t>
      </w:r>
      <w:r w:rsidRPr="00C344C2"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 xml:space="preserve"> złożenie oferty</w:t>
      </w:r>
      <w:r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 xml:space="preserve"> w niniejszym postępowaniu</w:t>
      </w:r>
      <w:r w:rsidRPr="00C344C2"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 xml:space="preserve">ponownie </w:t>
      </w:r>
      <w:r w:rsidRPr="00C344C2"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>prosimy Zamawiającego o rozważenie udzielenia odpowiedzi pozytywnej na poniższe</w:t>
      </w:r>
      <w:r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 xml:space="preserve"> pytania</w:t>
      </w:r>
      <w:r w:rsidRPr="00C344C2">
        <w:rPr>
          <w:rFonts w:ascii="Trebuchet MS" w:eastAsia="Times New Roman" w:hAnsi="Trebuchet MS" w:cs="Arial"/>
          <w:kern w:val="0"/>
          <w:sz w:val="20"/>
          <w:szCs w:val="20"/>
          <w:lang w:eastAsia="ar-SA" w:bidi="ar-SA"/>
        </w:rPr>
        <w:t>:</w:t>
      </w:r>
    </w:p>
    <w:p w:rsidR="004531F8" w:rsidRDefault="004531F8" w:rsidP="004531F8">
      <w:pPr>
        <w:ind w:left="360"/>
        <w:rPr>
          <w:rFonts w:ascii="Trebuchet MS" w:hAnsi="Trebuchet MS"/>
          <w:sz w:val="20"/>
          <w:szCs w:val="20"/>
        </w:rPr>
      </w:pPr>
    </w:p>
    <w:p w:rsidR="004531F8" w:rsidRPr="00FB4079" w:rsidRDefault="004531F8" w:rsidP="004531F8">
      <w:pPr>
        <w:numPr>
          <w:ilvl w:val="0"/>
          <w:numId w:val="1"/>
        </w:numPr>
        <w:contextualSpacing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W związku ze zmianami dotyczącymi przetwarzania danych osobowych wprowadzonych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Zamawiającego o potwierdzenie, że Zamawiający zawrze (na wzorze Wykonawcy lub Zamawiającego – prosimy o załączenie wzoru do odpowiedzi) dodatkową umowę o powierzeniu przetwarzania danych osobowych z Wykonawcą, która stanowić będzie załącznik do umowy dostawy ?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Podkreślamy, że zgodnie z art. 28 ust. 3 ogólnego rozporządzenia o ochronie danych przetwarzanie danych odbywa się na podstawie umowy lub innego instrumentu prawnego, które podlegają prawu Unii lub państwa członkowskiego. Naruszenie wskazanego obowiązku wiąże się z możliwością nałożenia na administratora (Zamawiającego) i podmiot przetwarzający (Wykonawcę) kary administracyjnej w wysokości: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- do 10 000 </w:t>
      </w:r>
      <w:proofErr w:type="spellStart"/>
      <w:r w:rsidRPr="00FB4079">
        <w:rPr>
          <w:rFonts w:ascii="Trebuchet MS" w:hAnsi="Trebuchet MS"/>
          <w:sz w:val="20"/>
          <w:szCs w:val="20"/>
        </w:rPr>
        <w:t>000</w:t>
      </w:r>
      <w:proofErr w:type="spellEnd"/>
      <w:r w:rsidRPr="00FB4079">
        <w:rPr>
          <w:rFonts w:ascii="Trebuchet MS" w:hAnsi="Trebuchet MS"/>
          <w:sz w:val="20"/>
          <w:szCs w:val="20"/>
        </w:rPr>
        <w:t xml:space="preserve"> EUR bądź 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- do 2% rocznego światowego obrotu przedsiębiorstwa z poprzedniego roku obrotowego,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przy czym zastosowanie ma kara wyższa.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>W razie stwierdzenia naruszenia podstawowych zasad przetwarzania kara administracyjna może być jeszcze wyższa i wynosi: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- do 20 000 </w:t>
      </w:r>
      <w:proofErr w:type="spellStart"/>
      <w:r w:rsidRPr="00FB4079">
        <w:rPr>
          <w:rFonts w:ascii="Trebuchet MS" w:hAnsi="Trebuchet MS"/>
          <w:sz w:val="20"/>
          <w:szCs w:val="20"/>
        </w:rPr>
        <w:t>000</w:t>
      </w:r>
      <w:proofErr w:type="spellEnd"/>
      <w:r w:rsidRPr="00FB4079">
        <w:rPr>
          <w:rFonts w:ascii="Trebuchet MS" w:hAnsi="Trebuchet MS"/>
          <w:sz w:val="20"/>
          <w:szCs w:val="20"/>
        </w:rPr>
        <w:t xml:space="preserve"> EUR bądź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- do 4% rocznego światowego obrotu przedsiębiorstwa z poprzedniego roku obrotowego,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przy czym zastosowanie ma kara wyższa. </w:t>
      </w:r>
    </w:p>
    <w:p w:rsidR="004531F8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W związku z powyższym brak zawarcia stosownej umowy powierzenia przetwarzania danych osobowych może wiązać się zarówno dla Zamawiającego jak i Wykonawcy z dotkliwymi konsekwencjami finansowymi. </w:t>
      </w:r>
    </w:p>
    <w:p w:rsidR="004531F8" w:rsidRPr="004531F8" w:rsidRDefault="004531F8" w:rsidP="004531F8">
      <w:pPr>
        <w:ind w:left="357"/>
        <w:jc w:val="both"/>
        <w:rPr>
          <w:rFonts w:ascii="Trebuchet MS" w:hAnsi="Trebuchet MS"/>
          <w:b/>
          <w:sz w:val="20"/>
          <w:szCs w:val="20"/>
        </w:rPr>
      </w:pPr>
    </w:p>
    <w:p w:rsidR="004531F8" w:rsidRDefault="004531F8" w:rsidP="004531F8">
      <w:pPr>
        <w:ind w:left="357"/>
        <w:jc w:val="both"/>
        <w:rPr>
          <w:rFonts w:ascii="Trebuchet MS" w:hAnsi="Trebuchet MS"/>
          <w:b/>
          <w:sz w:val="20"/>
          <w:szCs w:val="20"/>
        </w:rPr>
      </w:pPr>
      <w:r w:rsidRPr="004531F8">
        <w:rPr>
          <w:rFonts w:ascii="Trebuchet MS" w:hAnsi="Trebuchet MS"/>
          <w:b/>
          <w:sz w:val="20"/>
          <w:szCs w:val="20"/>
        </w:rPr>
        <w:t>Odpowiedź na pytanie 1</w:t>
      </w:r>
    </w:p>
    <w:p w:rsidR="004531F8" w:rsidRPr="004531F8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4531F8">
        <w:rPr>
          <w:rFonts w:ascii="Trebuchet MS" w:hAnsi="Trebuchet MS"/>
          <w:sz w:val="20"/>
          <w:szCs w:val="20"/>
        </w:rPr>
        <w:t>Wyrażamy zgodę na zawarcie umowy powierzenia przetwarzania  danych osobowych na wzorze wykonawcy.</w:t>
      </w:r>
    </w:p>
    <w:p w:rsidR="004531F8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</w:p>
    <w:p w:rsidR="004531F8" w:rsidRPr="00FB4079" w:rsidRDefault="004531F8" w:rsidP="004531F8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Czy Zamawiający wyraża zgodę na </w:t>
      </w:r>
      <w:proofErr w:type="spellStart"/>
      <w:r w:rsidRPr="00FB4079">
        <w:rPr>
          <w:rFonts w:ascii="Trebuchet MS" w:hAnsi="Trebuchet MS"/>
          <w:sz w:val="20"/>
          <w:szCs w:val="20"/>
        </w:rPr>
        <w:t>podpowierzenie</w:t>
      </w:r>
      <w:proofErr w:type="spellEnd"/>
      <w:r w:rsidRPr="00FB4079">
        <w:rPr>
          <w:rFonts w:ascii="Trebuchet MS" w:hAnsi="Trebuchet MS"/>
          <w:sz w:val="20"/>
          <w:szCs w:val="20"/>
        </w:rPr>
        <w:t xml:space="preserve"> przez Wykonawcę przetwarzania danych osobowych powierzonych Wykonawcy przez Zamawiającego w celu realizacji zamówienia publicznego tym podmiotom /osobom trzecim, którzy będą uczestniczyć w wykonaniu zamówienia, np. podwykonawcom?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Podkreślamy, że zgodnie z art. 28 ust. 2 ogólnego rozporządzenia o ochronie danych podmiot przetwarzający (Wykonawca) nie może powierzyć przetwarzania danych innym podmiotom przetwarzającym bez uprzedniej szczegółowej lub ogólnej pisemnej zgody administratora (Zamawiającego). Naruszenie wskazanego obowiązku wiąże się z możliwością nałożenia na administratora (Zamawiającego) i podmiot przetwarzający (Wykonawcę) kary administracyjnej w wysokości: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lastRenderedPageBreak/>
        <w:t xml:space="preserve">- do 10 000 </w:t>
      </w:r>
      <w:proofErr w:type="spellStart"/>
      <w:r w:rsidRPr="00FB4079">
        <w:rPr>
          <w:rFonts w:ascii="Trebuchet MS" w:hAnsi="Trebuchet MS"/>
          <w:sz w:val="20"/>
          <w:szCs w:val="20"/>
        </w:rPr>
        <w:t>000</w:t>
      </w:r>
      <w:proofErr w:type="spellEnd"/>
      <w:r w:rsidRPr="00FB4079">
        <w:rPr>
          <w:rFonts w:ascii="Trebuchet MS" w:hAnsi="Trebuchet MS"/>
          <w:sz w:val="20"/>
          <w:szCs w:val="20"/>
        </w:rPr>
        <w:t xml:space="preserve"> EUR bądź 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- do 2% rocznego światowego obrotu przedsiębiorstwa z poprzedniego roku obrotowego,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przy czym zastosowanie ma kara wyższa. 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>W razie stwierdzenia naruszenia podstawowych zasad przetwarzania kara administracyjna może być jeszcze wyższa i wynosić: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- do 20 000 </w:t>
      </w:r>
      <w:proofErr w:type="spellStart"/>
      <w:r w:rsidRPr="00FB4079">
        <w:rPr>
          <w:rFonts w:ascii="Trebuchet MS" w:hAnsi="Trebuchet MS"/>
          <w:sz w:val="20"/>
          <w:szCs w:val="20"/>
        </w:rPr>
        <w:t>000</w:t>
      </w:r>
      <w:proofErr w:type="spellEnd"/>
      <w:r w:rsidRPr="00FB4079">
        <w:rPr>
          <w:rFonts w:ascii="Trebuchet MS" w:hAnsi="Trebuchet MS"/>
          <w:sz w:val="20"/>
          <w:szCs w:val="20"/>
        </w:rPr>
        <w:t xml:space="preserve"> EUR bądź</w:t>
      </w:r>
    </w:p>
    <w:p w:rsidR="004531F8" w:rsidRPr="00FB4079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- do 4% rocznego światowego obrotu przedsiębiorstwa z poprzedniego roku obrotowego, </w:t>
      </w:r>
    </w:p>
    <w:p w:rsidR="004531F8" w:rsidRPr="00FB4079" w:rsidRDefault="004531F8" w:rsidP="004531F8">
      <w:pPr>
        <w:spacing w:after="240"/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przy czym zastosowanie ma kara wyższa. </w:t>
      </w:r>
    </w:p>
    <w:p w:rsidR="004531F8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 w:rsidRPr="00FB4079">
        <w:rPr>
          <w:rFonts w:ascii="Trebuchet MS" w:hAnsi="Trebuchet MS"/>
          <w:sz w:val="20"/>
          <w:szCs w:val="20"/>
        </w:rPr>
        <w:t xml:space="preserve">W związku z </w:t>
      </w:r>
      <w:r>
        <w:rPr>
          <w:rFonts w:ascii="Trebuchet MS" w:hAnsi="Trebuchet MS"/>
          <w:sz w:val="20"/>
          <w:szCs w:val="20"/>
        </w:rPr>
        <w:t xml:space="preserve">faktem, iż w ramach niniejszego postępowaniu dojdzie do powierzenia danych osobowych podmiotom takim jak serwisanci (np. ASO producenta pojazdu bazowego) </w:t>
      </w:r>
      <w:r w:rsidRPr="00FB4079">
        <w:rPr>
          <w:rFonts w:ascii="Trebuchet MS" w:hAnsi="Trebuchet MS"/>
          <w:sz w:val="20"/>
          <w:szCs w:val="20"/>
        </w:rPr>
        <w:t xml:space="preserve">brak wyrażenia zgody na </w:t>
      </w:r>
      <w:proofErr w:type="spellStart"/>
      <w:r w:rsidRPr="00FB4079">
        <w:rPr>
          <w:rFonts w:ascii="Trebuchet MS" w:hAnsi="Trebuchet MS"/>
          <w:sz w:val="20"/>
          <w:szCs w:val="20"/>
        </w:rPr>
        <w:t>podpowierzenie</w:t>
      </w:r>
      <w:proofErr w:type="spellEnd"/>
      <w:r w:rsidRPr="00FB4079">
        <w:rPr>
          <w:rFonts w:ascii="Trebuchet MS" w:hAnsi="Trebuchet MS"/>
          <w:sz w:val="20"/>
          <w:szCs w:val="20"/>
        </w:rPr>
        <w:t xml:space="preserve"> przetwarzania danych osobowych może wiązać się zarówno dla Zamawiającego jak i Wykonawcy z dotkliwymi konsekwencjami finansowymi.</w:t>
      </w:r>
    </w:p>
    <w:p w:rsidR="004531F8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</w:p>
    <w:p w:rsidR="004531F8" w:rsidRPr="004531F8" w:rsidRDefault="004531F8" w:rsidP="004531F8">
      <w:pPr>
        <w:ind w:left="357"/>
        <w:jc w:val="both"/>
        <w:rPr>
          <w:rFonts w:ascii="Trebuchet MS" w:hAnsi="Trebuchet MS"/>
          <w:b/>
          <w:sz w:val="20"/>
          <w:szCs w:val="20"/>
        </w:rPr>
      </w:pPr>
    </w:p>
    <w:p w:rsidR="004531F8" w:rsidRDefault="004531F8" w:rsidP="004531F8">
      <w:pPr>
        <w:ind w:left="357"/>
        <w:jc w:val="both"/>
        <w:rPr>
          <w:rFonts w:ascii="Trebuchet MS" w:hAnsi="Trebuchet MS"/>
          <w:b/>
          <w:sz w:val="20"/>
          <w:szCs w:val="20"/>
        </w:rPr>
      </w:pPr>
      <w:r w:rsidRPr="004531F8">
        <w:rPr>
          <w:rFonts w:ascii="Trebuchet MS" w:hAnsi="Trebuchet MS"/>
          <w:b/>
          <w:sz w:val="20"/>
          <w:szCs w:val="20"/>
        </w:rPr>
        <w:t xml:space="preserve">Odpowiedź na pytanie </w:t>
      </w:r>
      <w:r>
        <w:rPr>
          <w:rFonts w:ascii="Trebuchet MS" w:hAnsi="Trebuchet MS"/>
          <w:b/>
          <w:sz w:val="20"/>
          <w:szCs w:val="20"/>
        </w:rPr>
        <w:t>2</w:t>
      </w:r>
    </w:p>
    <w:p w:rsidR="004531F8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</w:p>
    <w:p w:rsidR="004531F8" w:rsidRDefault="004531F8" w:rsidP="004531F8">
      <w:pPr>
        <w:ind w:left="35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Wyrażamy zgodę na podpowiedzenie przetwarzania danych osobowych.</w:t>
      </w:r>
    </w:p>
    <w:p w:rsidR="004531F8" w:rsidRPr="00D71A4C" w:rsidRDefault="004531F8" w:rsidP="004531F8">
      <w:pPr>
        <w:widowControl/>
        <w:suppressAutoHyphens w:val="0"/>
        <w:jc w:val="both"/>
        <w:rPr>
          <w:rFonts w:ascii="Trebuchet MS" w:eastAsia="PFDinDisplayPro-Light" w:hAnsi="Trebuchet MS" w:cs="PFDinDisplayPro-Light"/>
          <w:color w:val="676C73"/>
          <w:kern w:val="2"/>
          <w:sz w:val="20"/>
          <w:szCs w:val="20"/>
        </w:rPr>
      </w:pPr>
    </w:p>
    <w:p w:rsidR="004531F8" w:rsidRDefault="004531F8" w:rsidP="004531F8">
      <w:pPr>
        <w:widowControl/>
        <w:numPr>
          <w:ilvl w:val="0"/>
          <w:numId w:val="2"/>
        </w:numPr>
        <w:suppressAutoHyphens w:val="0"/>
        <w:ind w:left="284" w:hanging="426"/>
        <w:jc w:val="both"/>
        <w:rPr>
          <w:rFonts w:ascii="Trebuchet MS" w:eastAsia="PFDinDisplayPro-Light" w:hAnsi="Trebuchet MS" w:cs="PFDinDisplayPro-Light"/>
          <w:kern w:val="2"/>
          <w:sz w:val="20"/>
          <w:szCs w:val="20"/>
        </w:rPr>
      </w:pPr>
      <w:r w:rsidRPr="00D71A4C">
        <w:rPr>
          <w:rFonts w:ascii="Trebuchet MS" w:eastAsia="PFDinDisplayPro-Light" w:hAnsi="Trebuchet MS" w:cs="PFDinDisplayPro-Light"/>
          <w:kern w:val="2"/>
          <w:sz w:val="20"/>
          <w:szCs w:val="20"/>
        </w:rPr>
        <w:t>Prosimy o wyrażenie zgody na zawarcie umowy powierzenia przetwarzania danych osobowych na załączonym</w:t>
      </w: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 xml:space="preserve"> do niniejszych pytań wzorze. </w:t>
      </w:r>
    </w:p>
    <w:p w:rsidR="00E44C75" w:rsidRDefault="00E44C75" w:rsidP="00E44C75">
      <w:pPr>
        <w:widowControl/>
        <w:suppressAutoHyphens w:val="0"/>
        <w:jc w:val="both"/>
        <w:rPr>
          <w:rFonts w:ascii="Trebuchet MS" w:eastAsia="PFDinDisplayPro-Light" w:hAnsi="Trebuchet MS" w:cs="PFDinDisplayPro-Light"/>
          <w:kern w:val="2"/>
          <w:sz w:val="20"/>
          <w:szCs w:val="20"/>
        </w:rPr>
      </w:pPr>
    </w:p>
    <w:p w:rsidR="00E44C75" w:rsidRDefault="00E44C75" w:rsidP="00E44C75">
      <w:pPr>
        <w:ind w:left="357"/>
        <w:jc w:val="both"/>
        <w:rPr>
          <w:rFonts w:ascii="Trebuchet MS" w:hAnsi="Trebuchet MS"/>
          <w:b/>
          <w:sz w:val="20"/>
          <w:szCs w:val="20"/>
        </w:rPr>
      </w:pPr>
      <w:r w:rsidRPr="004531F8">
        <w:rPr>
          <w:rFonts w:ascii="Trebuchet MS" w:hAnsi="Trebuchet MS"/>
          <w:b/>
          <w:sz w:val="20"/>
          <w:szCs w:val="20"/>
        </w:rPr>
        <w:t xml:space="preserve">Odpowiedź 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:rsidR="00E44C75" w:rsidRDefault="00E44C75" w:rsidP="00E44C75">
      <w:pPr>
        <w:widowControl/>
        <w:suppressAutoHyphens w:val="0"/>
        <w:ind w:left="284"/>
        <w:jc w:val="both"/>
        <w:rPr>
          <w:rFonts w:ascii="Trebuchet MS" w:eastAsia="PFDinDisplayPro-Light" w:hAnsi="Trebuchet MS" w:cs="PFDinDisplayPro-Light"/>
          <w:kern w:val="2"/>
          <w:sz w:val="20"/>
          <w:szCs w:val="20"/>
        </w:rPr>
      </w:pP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>Wyrażamy zgodę.</w:t>
      </w:r>
    </w:p>
    <w:p w:rsidR="00E44C75" w:rsidRDefault="00E44C75" w:rsidP="00E44C75">
      <w:pPr>
        <w:widowControl/>
        <w:suppressAutoHyphens w:val="0"/>
        <w:ind w:left="284"/>
        <w:jc w:val="both"/>
        <w:rPr>
          <w:rFonts w:ascii="Trebuchet MS" w:eastAsia="PFDinDisplayPro-Light" w:hAnsi="Trebuchet MS" w:cs="PFDinDisplayPro-Light"/>
          <w:kern w:val="2"/>
          <w:sz w:val="20"/>
          <w:szCs w:val="20"/>
        </w:rPr>
      </w:pPr>
    </w:p>
    <w:p w:rsidR="00E44C75" w:rsidRPr="00E44C75" w:rsidRDefault="00E44C75" w:rsidP="00E44C75">
      <w:pPr>
        <w:widowControl/>
        <w:suppressAutoHyphens w:val="0"/>
        <w:spacing w:before="100" w:beforeAutospacing="1"/>
        <w:jc w:val="center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sz w:val="27"/>
          <w:szCs w:val="27"/>
          <w:lang w:eastAsia="pl-PL" w:bidi="ar-SA"/>
        </w:rPr>
        <w:t>Umowa powierzenia przetwarzania danych osobowych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Zawarta dnia ______ r. w ………………………….. pomiędzy:</w:t>
      </w:r>
    </w:p>
    <w:p w:rsidR="00E44C75" w:rsidRPr="00E44C75" w:rsidRDefault="00E44C75" w:rsidP="00E44C75">
      <w:pPr>
        <w:widowControl/>
        <w:suppressAutoHyphens w:val="0"/>
        <w:spacing w:before="100" w:beforeAutospacing="1" w:after="119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……………………………………………………………………………………………………………………</w:t>
      </w: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(zwaną dalej </w:t>
      </w: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„Procesorem”)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oraz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eastAsia="Times New Roman" w:cs="Times New Roman"/>
          <w:kern w:val="0"/>
          <w:lang w:eastAsia="pl-PL" w:bidi="ar-SA"/>
        </w:rPr>
        <w:t>………………………………………………………………………………………………………………</w:t>
      </w: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...…, 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(zwanego dalej </w:t>
      </w: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„Administratorem”</w:t>
      </w: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)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:rsidR="00E44C75" w:rsidRPr="00E44C75" w:rsidRDefault="00E44C75" w:rsidP="00E44C75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Cel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Na warunkach określonych w tej umowie, Administrator powierza przetwarzanie danych osobowych Procesorowi.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Strony zobowiązują się przestrzegać odpowiednich postanowień dotyczących przetwarzania danych osobowych, a zwłaszcza Rozporządzenia UE 2016/679 Parlamentu Europejskiego oraz </w:t>
      </w: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lastRenderedPageBreak/>
        <w:t>Rady z dnia 27 kwietnia 2016, które weszło w życie z dniem 25 maja 2018 (zwanego dalej „RODO”).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Umowa zostaje zawarta w związku z zawarciem przez Administratora Umowy Przetargowej z Procesorem w wyniku wyboru oferty Procesora w postępowaniu przetargowym nr ______ w trybie ustawy Prawo zamówień publicznych. </w:t>
      </w:r>
    </w:p>
    <w:p w:rsidR="00E44C75" w:rsidRPr="00E44C75" w:rsidRDefault="00E44C75" w:rsidP="00E44C75">
      <w:pPr>
        <w:widowControl/>
        <w:numPr>
          <w:ilvl w:val="0"/>
          <w:numId w:val="4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 xml:space="preserve">Opis procesów będących przedmiotem umowy 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Przetwarzanie powierzonych danych osobowych odbywa się w związku z wykonywaniem zawartej przez Strony w dniu ____ umowy _____(tytuł) (dalej: Umowa dostawy).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W ramach przetwarzania danych wykonuje się operacje wskazane </w:t>
      </w: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w załączniku 1 do niniejszej umowy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Dane osobowe są powierzane do przetwarzania w celu realizacji przez Procesora Umowy Przetargowej zawartej z Administratorem.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Dane osobowe jakie podlegają przetwarzaniu wskazane są </w:t>
      </w: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w załączniku 1 do niniejszej umowy.</w:t>
      </w: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 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Umowa obejmuje tylko te kategorie osób, których dane są przekazane przez Zamawiającego w zakresie niezbędnym do realizacji zamówienia publicznego.</w:t>
      </w:r>
    </w:p>
    <w:p w:rsidR="00E44C75" w:rsidRPr="00E44C75" w:rsidRDefault="00E44C75" w:rsidP="00E44C75">
      <w:pPr>
        <w:widowControl/>
        <w:numPr>
          <w:ilvl w:val="0"/>
          <w:numId w:val="5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Czas trwania kontraktu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Niniejsza umowa powierzenia przetwarzania danych zostaje zawarta na czas trwania Umowy dostawy, o której mowa w </w:t>
      </w:r>
      <w:proofErr w:type="spellStart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pkt</w:t>
      </w:r>
      <w:proofErr w:type="spellEnd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 2.</w:t>
      </w:r>
    </w:p>
    <w:p w:rsidR="00E44C75" w:rsidRPr="00E44C75" w:rsidRDefault="00E44C75" w:rsidP="00E44C75">
      <w:pPr>
        <w:widowControl/>
        <w:numPr>
          <w:ilvl w:val="0"/>
          <w:numId w:val="6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Obowiązki Procesora względem Administratora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Procesor zobowiązuję się do:</w:t>
      </w:r>
    </w:p>
    <w:p w:rsidR="00E44C75" w:rsidRPr="00E44C75" w:rsidRDefault="00E44C75" w:rsidP="00E44C75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Przetwarzania danych wyłącznie w celach określonych w niniejszej umowie;</w:t>
      </w:r>
    </w:p>
    <w:p w:rsidR="00E44C75" w:rsidRPr="00E44C75" w:rsidRDefault="00E44C75" w:rsidP="00E44C75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Przetwarzania danych zgodnie z udokumentowanymi instrukcjami Administratora. W przypadku, gdy Procesor uzna, że instrukcje naruszają RODO lub inne przepisy dotyczące ochrony danych osobowych, natychmiast poinformuje o tym Administratora. Ponadto, jeśli Procesor ma obowiązek przekazać dane osobowe do kraju trzeciego lub organizacji międzynarodowej, w myśl prawa UE lub prawa państwa członkowskiego, któremu Procesor podlega, poinformuje on Administratora o tym obowiązku prawnym przed rozpoczęciem przetwarzania, chyba że prawo to zabrania przekazania takich informacji z uwagi na ważny interes publiczny;</w:t>
      </w:r>
    </w:p>
    <w:p w:rsidR="00E44C75" w:rsidRPr="00E44C75" w:rsidRDefault="00E44C75" w:rsidP="00E44C75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Gwarantuje poufność przetwarzania danych osobowych;</w:t>
      </w:r>
    </w:p>
    <w:p w:rsidR="00E44C75" w:rsidRPr="00E44C75" w:rsidRDefault="00E44C75" w:rsidP="00E44C75">
      <w:pPr>
        <w:widowControl/>
        <w:numPr>
          <w:ilvl w:val="0"/>
          <w:numId w:val="7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Zapewni, żeby osoby upoważnione do przetwarzania danych osobowych:</w:t>
      </w:r>
    </w:p>
    <w:p w:rsidR="00E44C75" w:rsidRPr="00E44C75" w:rsidRDefault="00E44C75" w:rsidP="00E44C75">
      <w:pPr>
        <w:widowControl/>
        <w:numPr>
          <w:ilvl w:val="0"/>
          <w:numId w:val="8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Zobowiązały się do zachowania tajemnicy lub były objęte odpowiednim ustawowym obowiązkiem zachowania tajemnicy;</w:t>
      </w:r>
    </w:p>
    <w:p w:rsidR="00E44C75" w:rsidRPr="00E44C75" w:rsidRDefault="00E44C75" w:rsidP="00E44C75">
      <w:pPr>
        <w:widowControl/>
        <w:numPr>
          <w:ilvl w:val="0"/>
          <w:numId w:val="8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Otrzymały odpowiednie szkolenie na temat ochrony danych osobowych;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eastAsia="pl-PL" w:bidi="ar-SA"/>
        </w:rPr>
      </w:pPr>
    </w:p>
    <w:p w:rsidR="00E44C75" w:rsidRPr="00E44C75" w:rsidRDefault="00E44C75" w:rsidP="00E44C75">
      <w:pPr>
        <w:widowControl/>
        <w:numPr>
          <w:ilvl w:val="0"/>
          <w:numId w:val="9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Podwykonawcy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Administrator wyraża zgodę na dalsze powierzenie przez Procesora przetwarzania danych osobowych w celu i w zakresie niezbędnym do realizacji niniejszej umowy. </w:t>
      </w:r>
      <w:proofErr w:type="spellStart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Podpowierzenie</w:t>
      </w:r>
      <w:proofErr w:type="spellEnd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 może zostać udzielone podmiotom / osobom trzecim, z którymi Procesor zawrze umowę dotyczącą realizacji tego zamówienia publicznego, np. podwykonawcom. </w:t>
      </w:r>
      <w:proofErr w:type="spellStart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Podpowierzenie</w:t>
      </w:r>
      <w:proofErr w:type="spellEnd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 nie może nastąpić w innym celu i zakresie niż powierzenie przetwarzania danych osobowych na postawie niniejszej umowy. Procesor w pisemnych umowach z podwykonawcami/ osobami trzecimi zapewni odpowiednie stosowanie zasad i warunków przetwarzania danych osobowych zgodnie z wymogami obowiązujących przepisów prawa.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(uprawnienia ogólne oraz szczegółowe)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Podwykonawca/ osoba trzecia ma obowiązek przestrzegać wszystkich obowiązków wynikających z tej umowy. Podstawowym obowiązkiem Procesora jest zapewnienie, żeby podwykonawca/ osoba trzecia udzieliła gwarancji w zakresie wdrożenia odpowiednich środków technicznych i organizacyjnych w taki sposób, by przetwarzanie danych odpowiadało przepisom RODO. W przypadku, gdy podwykonawca/ osoba trzecia nie dopełni swych obowiązków dotyczących ochrony danych, wówczas Procesor ponosi pełną odpowiedzialność za działania podwykonawcy/ osoby trzeciej. </w:t>
      </w:r>
    </w:p>
    <w:p w:rsidR="00E44C75" w:rsidRPr="00E44C75" w:rsidRDefault="00E44C75" w:rsidP="00E44C75">
      <w:pPr>
        <w:widowControl/>
        <w:numPr>
          <w:ilvl w:val="0"/>
          <w:numId w:val="10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Prawa osób zainteresowanych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Obowiązkiem Administratora jest poinformowanie osób, których dotyczą dane osobowe, o przetwarzaniu ich danych w okresie, gdy te dane są zbierane.</w:t>
      </w:r>
    </w:p>
    <w:p w:rsidR="00E44C75" w:rsidRPr="00E44C75" w:rsidRDefault="00E44C75" w:rsidP="00E44C75">
      <w:pPr>
        <w:widowControl/>
        <w:numPr>
          <w:ilvl w:val="0"/>
          <w:numId w:val="11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 xml:space="preserve">Egzekwowanie praw osób zainteresowanych 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Procesor ma obowiązek wspierania Administratora w realizacji jego obowiązków w zakresie wniosków składanych przez osoby zainteresowane celem egzekwowania ich praw, w tym: prawa dostępu, zmiany, wykasowania, sprzeciwu, prawa ograniczenia dostępu, prawa do przenoszenia danych, prawa do odmowy automatycznego przetwarzania ( w tym profilowania).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W razie złożenia wniosku przez osobę zainteresowaną do Procesora w celu egzekwowania jej praw, Procesor jest zobowiązany do przekazania Administratorowi tego wniosku niezwłocznie po jego otrzymaniu na następujący adres email: </w:t>
      </w:r>
      <w:r w:rsidRPr="00E44C75">
        <w:rPr>
          <w:rFonts w:eastAsia="Times New Roman" w:cs="Times New Roman"/>
          <w:kern w:val="0"/>
          <w:lang w:eastAsia="pl-PL" w:bidi="ar-SA"/>
        </w:rPr>
        <w:t>………………………….</w:t>
      </w:r>
    </w:p>
    <w:p w:rsidR="00E44C75" w:rsidRPr="00E44C75" w:rsidRDefault="00E44C75" w:rsidP="00E44C75">
      <w:pPr>
        <w:widowControl/>
        <w:numPr>
          <w:ilvl w:val="0"/>
          <w:numId w:val="12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 xml:space="preserve">Powiadomienie o naruszeniu danych osobowych 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Procesor poinformuje Administratora o wszelkich przypadkach naruszenia danych osobowych, niezwłocznie, nie później niż 48 godzin po odkryciu zajścia drogą mailową na następujący adres: </w:t>
      </w:r>
      <w:r w:rsidRPr="00E44C75">
        <w:rPr>
          <w:rFonts w:ascii="Calibri Light" w:eastAsia="Times New Roman" w:hAnsi="Calibri Light" w:cs="Calibri Light"/>
          <w:color w:val="00000A"/>
          <w:kern w:val="0"/>
          <w:lang w:eastAsia="pl-PL" w:bidi="ar-SA"/>
        </w:rPr>
        <w:t>.................................</w:t>
      </w: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.Powiadomienie to będzie dostarczone wraz z wszelką niezbędną dokumentacją, aby umożliwić Administratorowi zawiadomienie organu nadzoru o naruszeniu, o ile będzie to konieczne. 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eastAsia="pl-PL" w:bidi="ar-SA"/>
        </w:rPr>
      </w:pPr>
    </w:p>
    <w:p w:rsidR="00E44C75" w:rsidRPr="00E44C75" w:rsidRDefault="00E44C75" w:rsidP="00E44C75">
      <w:pPr>
        <w:widowControl/>
        <w:numPr>
          <w:ilvl w:val="0"/>
          <w:numId w:val="13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Środki ostrożności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Procesor zobowiązuję się do wdrożenia następujących środków:</w:t>
      </w:r>
    </w:p>
    <w:p w:rsidR="00E44C75" w:rsidRPr="00E44C75" w:rsidRDefault="00E44C75" w:rsidP="00E44C75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proofErr w:type="spellStart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pseudonimizacja</w:t>
      </w:r>
      <w:proofErr w:type="spellEnd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 i szyfrowanie danych osobowych,</w:t>
      </w:r>
    </w:p>
    <w:p w:rsidR="00E44C75" w:rsidRPr="00E44C75" w:rsidRDefault="00E44C75" w:rsidP="00E44C75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zdolność do ciągłego zapewnienia poufności, integralności, dostępności i odporności systemów i usług przetwarzania,</w:t>
      </w:r>
    </w:p>
    <w:p w:rsidR="00E44C75" w:rsidRPr="00E44C75" w:rsidRDefault="00E44C75" w:rsidP="00E44C75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zdolność do szybkiego przywrócenia dostępności danych osobowych i dostępu do nich w razie incydentu fizycznego lub technicznego,</w:t>
      </w:r>
    </w:p>
    <w:p w:rsidR="00E44C75" w:rsidRPr="00E44C75" w:rsidRDefault="00E44C75" w:rsidP="00E44C75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regularne testowanie, mierzenie i ocenianie skuteczności środków technicznych i organizacyjnych mających zapewnić bezpieczeństwo przetwarzania.</w:t>
      </w:r>
    </w:p>
    <w:p w:rsidR="00E44C75" w:rsidRPr="00E44C75" w:rsidRDefault="00E44C75" w:rsidP="00E44C75">
      <w:pPr>
        <w:widowControl/>
        <w:shd w:val="clear" w:color="auto" w:fill="FFFFFF"/>
        <w:suppressAutoHyphens w:val="0"/>
        <w:spacing w:before="100" w:beforeAutospacing="1"/>
        <w:ind w:left="720"/>
        <w:rPr>
          <w:rFonts w:eastAsia="Times New Roman" w:cs="Times New Roman"/>
          <w:kern w:val="0"/>
          <w:lang w:eastAsia="pl-PL" w:bidi="ar-SA"/>
        </w:rPr>
      </w:pPr>
    </w:p>
    <w:p w:rsidR="00E44C75" w:rsidRPr="00E44C75" w:rsidRDefault="00E44C75" w:rsidP="00E44C75">
      <w:pPr>
        <w:widowControl/>
        <w:numPr>
          <w:ilvl w:val="0"/>
          <w:numId w:val="15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Upływ okresu powierzenia przetwarzania danych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W terminie 14 dni od dnia upływu okresu powierzenia przetwarzania danych, Procesor zobowiązuje się zwrócić wszelkie dane osobowe Administratorowi.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Wraz ze zwrotem, wszelkie kopie istniejące w systemach informatycznych Procesora muszą zostać zniszczone, chyba że prawo UE lub państwa członkowskiego nakazuje przechowywanie danych po okresie obowiązywania umowy. Procesor potwierdzi na piśmie Administratorowi fakt zniszczenia tych kopii.</w:t>
      </w:r>
    </w:p>
    <w:p w:rsidR="00E44C75" w:rsidRPr="00E44C75" w:rsidRDefault="00E44C75" w:rsidP="00E44C75">
      <w:pPr>
        <w:widowControl/>
        <w:numPr>
          <w:ilvl w:val="0"/>
          <w:numId w:val="16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Inspektor Ochrony Danych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Inspektorem Ochrony Danych, wyznaczonym w myśl postanowień Rozporządzenia UE 2016/679 przez Administratora, jest ……………………………………..</w:t>
      </w:r>
    </w:p>
    <w:p w:rsidR="00E44C75" w:rsidRPr="00E44C75" w:rsidRDefault="00E44C75" w:rsidP="00E44C75">
      <w:pPr>
        <w:widowControl/>
        <w:numPr>
          <w:ilvl w:val="0"/>
          <w:numId w:val="17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 xml:space="preserve">Rejestr czynności związanych z przetwarzaniem 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Procesor oświadcza, że prowadzi pisemny rejestr wszelkich kategorii i czynności przetwarzania danych wykonanych w imieniu Administratora, zawierający:</w:t>
      </w:r>
    </w:p>
    <w:p w:rsidR="00E44C75" w:rsidRPr="00E44C75" w:rsidRDefault="00E44C75" w:rsidP="00E44C75">
      <w:pPr>
        <w:widowControl/>
        <w:numPr>
          <w:ilvl w:val="0"/>
          <w:numId w:val="18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Dane kontaktowe Administratora, w imieniu którego działa Procesor, wszelkich innych procesorów i, jeśli to konieczne, Inspektora Ochrony Danych,</w:t>
      </w:r>
    </w:p>
    <w:p w:rsidR="00E44C75" w:rsidRPr="00E44C75" w:rsidRDefault="00E44C75" w:rsidP="00E44C75">
      <w:pPr>
        <w:widowControl/>
        <w:numPr>
          <w:ilvl w:val="0"/>
          <w:numId w:val="18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Kategorie przetwarzania wykonanego w imieniu Administratora,</w:t>
      </w:r>
    </w:p>
    <w:p w:rsidR="00E44C75" w:rsidRPr="00E44C75" w:rsidRDefault="00E44C75" w:rsidP="00E44C75">
      <w:pPr>
        <w:widowControl/>
        <w:numPr>
          <w:ilvl w:val="0"/>
          <w:numId w:val="18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Jeśli dotyczy, również zapis przypadków przeniesienia danych do państwa trzeciego lub organizacji międzynarodowej, podając ich nazwę i, w przypadku przekazania opisanego w art. 49 (1) RODO, dokumentację odpowiednich zabezpieczeń,</w:t>
      </w:r>
    </w:p>
    <w:p w:rsidR="00E44C75" w:rsidRPr="00E44C75" w:rsidRDefault="00E44C75" w:rsidP="00E44C75">
      <w:pPr>
        <w:widowControl/>
        <w:numPr>
          <w:ilvl w:val="0"/>
          <w:numId w:val="18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Generalny opis technicznych i organizacyjnych środków ostrożności, między innymi:</w:t>
      </w:r>
    </w:p>
    <w:p w:rsidR="00E44C75" w:rsidRPr="00E44C75" w:rsidRDefault="00E44C75" w:rsidP="00E44C75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proofErr w:type="spellStart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pseudonimizacja</w:t>
      </w:r>
      <w:proofErr w:type="spellEnd"/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 i szyfrowanie danych osobowych,</w:t>
      </w:r>
    </w:p>
    <w:p w:rsidR="00E44C75" w:rsidRPr="00E44C75" w:rsidRDefault="00E44C75" w:rsidP="00E44C75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zdolność do ciągłego zapewnienia poufności, integralności, dostępności i odporności systemów i usług przetwarzania,</w:t>
      </w:r>
    </w:p>
    <w:p w:rsidR="00E44C75" w:rsidRPr="00E44C75" w:rsidRDefault="00E44C75" w:rsidP="00E44C75">
      <w:pPr>
        <w:widowControl/>
        <w:numPr>
          <w:ilvl w:val="0"/>
          <w:numId w:val="19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lastRenderedPageBreak/>
        <w:t>zdolność do szybkiego przywrócenia dostępności danych osobowych i dostępu do nich w razie incydentu fizycznego lub technicznego,</w:t>
      </w:r>
    </w:p>
    <w:p w:rsidR="00E44C75" w:rsidRPr="00E44C75" w:rsidRDefault="00E44C75" w:rsidP="00E44C75">
      <w:pPr>
        <w:widowControl/>
        <w:numPr>
          <w:ilvl w:val="0"/>
          <w:numId w:val="19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 xml:space="preserve">regularne testowanie, mierzenie i ocenianie skuteczności środków technicznych i organizacyjnych mających zapewnić bezpieczeństwo przetwarzania. 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ind w:left="720"/>
        <w:rPr>
          <w:rFonts w:eastAsia="Times New Roman" w:cs="Times New Roman"/>
          <w:kern w:val="0"/>
          <w:lang w:eastAsia="pl-PL" w:bidi="ar-SA"/>
        </w:rPr>
      </w:pPr>
    </w:p>
    <w:p w:rsidR="00E44C75" w:rsidRPr="00E44C75" w:rsidRDefault="00E44C75" w:rsidP="00E44C75">
      <w:pPr>
        <w:widowControl/>
        <w:numPr>
          <w:ilvl w:val="0"/>
          <w:numId w:val="20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Dokumentacja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Procesor dostarcza Administratorowi niezbędną dokumentację celem wykazania spełnienia obowiązków wynikających z tej umowy na potrzeby audytów i inspekcji wykonywanych przez Administratora.</w:t>
      </w:r>
    </w:p>
    <w:p w:rsidR="00E44C75" w:rsidRPr="00E44C75" w:rsidRDefault="00E44C75" w:rsidP="00E44C75">
      <w:pPr>
        <w:widowControl/>
        <w:numPr>
          <w:ilvl w:val="0"/>
          <w:numId w:val="21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>Obowiązki Administratora względem Procesora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Administrator zobowiązuje się do:</w:t>
      </w:r>
    </w:p>
    <w:p w:rsidR="00E44C75" w:rsidRPr="00E44C75" w:rsidRDefault="00E44C75" w:rsidP="00E44C75">
      <w:pPr>
        <w:widowControl/>
        <w:numPr>
          <w:ilvl w:val="0"/>
          <w:numId w:val="22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Dokumentowania wszelkich instrukcji dotyczących przetwarzania danych przez Procesora,</w:t>
      </w:r>
    </w:p>
    <w:p w:rsidR="00E44C75" w:rsidRPr="00E44C75" w:rsidRDefault="00E44C75" w:rsidP="00E44C75">
      <w:pPr>
        <w:widowControl/>
        <w:numPr>
          <w:ilvl w:val="0"/>
          <w:numId w:val="22"/>
        </w:numPr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kern w:val="0"/>
          <w:lang w:eastAsia="pl-PL" w:bidi="ar-SA"/>
        </w:rPr>
        <w:t>Zapewnienia, przed i w trakcie przetwarzania, wypełnienia wymogów zawartych w RODO oraz nadzorowania przetwarzania, również w ramach audytów i inspekcji.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6"/>
        <w:gridCol w:w="4789"/>
      </w:tblGrid>
      <w:tr w:rsidR="00E44C75" w:rsidRPr="00E44C75" w:rsidTr="00E44C75">
        <w:trPr>
          <w:tblCellSpacing w:w="0" w:type="dxa"/>
        </w:trPr>
        <w:tc>
          <w:tcPr>
            <w:tcW w:w="4185" w:type="dxa"/>
            <w:vAlign w:val="center"/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kern w:val="0"/>
                <w:lang w:val="it-IT" w:eastAsia="pl-PL" w:bidi="ar-SA"/>
              </w:rPr>
              <w:t>Procesor</w:t>
            </w:r>
          </w:p>
        </w:tc>
        <w:tc>
          <w:tcPr>
            <w:tcW w:w="4680" w:type="dxa"/>
            <w:vAlign w:val="center"/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kern w:val="0"/>
                <w:lang w:val="it-IT" w:eastAsia="pl-PL" w:bidi="ar-SA"/>
              </w:rPr>
              <w:t>Administrator</w:t>
            </w:r>
          </w:p>
        </w:tc>
      </w:tr>
      <w:tr w:rsidR="00E44C75" w:rsidRPr="00E44C75" w:rsidTr="00E44C75">
        <w:trPr>
          <w:tblCellSpacing w:w="0" w:type="dxa"/>
        </w:trPr>
        <w:tc>
          <w:tcPr>
            <w:tcW w:w="4185" w:type="dxa"/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kern w:val="0"/>
                <w:lang w:val="it-IT" w:eastAsia="pl-PL" w:bidi="ar-SA"/>
              </w:rPr>
              <w:t>___________________________________</w:t>
            </w:r>
          </w:p>
        </w:tc>
        <w:tc>
          <w:tcPr>
            <w:tcW w:w="4680" w:type="dxa"/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kern w:val="0"/>
                <w:lang w:val="it-IT" w:eastAsia="pl-PL" w:bidi="ar-SA"/>
              </w:rPr>
              <w:t>___________________________________</w:t>
            </w:r>
          </w:p>
        </w:tc>
      </w:tr>
    </w:tbl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W załączeniu przekazujemy wzór umowy powierzenia przetwarzania danych, który staje się obowiązującą treścią SIWZ</w:t>
      </w:r>
      <w:r w:rsidR="009C3DA0">
        <w:rPr>
          <w:rFonts w:eastAsia="Times New Roman" w:cs="Times New Roman"/>
          <w:kern w:val="0"/>
          <w:lang w:eastAsia="pl-PL" w:bidi="ar-SA"/>
        </w:rPr>
        <w:t>.</w:t>
      </w:r>
    </w:p>
    <w:p w:rsidR="00E44C75" w:rsidRPr="00E44C75" w:rsidRDefault="00E44C75" w:rsidP="00E44C75">
      <w:pPr>
        <w:pageBreakBefore/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  <w:r w:rsidRPr="00E44C75"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lastRenderedPageBreak/>
        <w:t>Załącznik nr 1 – Dane osobowe</w:t>
      </w: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05"/>
        <w:gridCol w:w="4605"/>
      </w:tblGrid>
      <w:tr w:rsidR="00E44C75" w:rsidRPr="00E44C75" w:rsidTr="00E44C75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b/>
                <w:bCs/>
                <w:kern w:val="0"/>
                <w:lang w:val="it-IT" w:eastAsia="pl-PL" w:bidi="ar-SA"/>
              </w:rPr>
              <w:t>Rodzaj danych osobowych</w:t>
            </w: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</w:tc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b/>
                <w:bCs/>
                <w:kern w:val="0"/>
                <w:lang w:val="it-IT" w:eastAsia="pl-PL" w:bidi="ar-SA"/>
              </w:rPr>
              <w:t>Proszę wskazać właściwe</w:t>
            </w: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i/>
                <w:iCs/>
                <w:kern w:val="0"/>
                <w:lang w:val="it-IT" w:eastAsia="pl-PL" w:bidi="ar-SA"/>
              </w:rPr>
              <w:t>imiona i nazwiska, adresy e-mail, numery telefonów, adresy zamieszkania, serie i numery dowodów osobistych, numery PESEL, dane o stanie zdrowia, informacje gromadzone w dokumentacji medycznej, informacje o stanie zdrowie, diagnozy, stosowane leczenie, opisy i wyniki badań</w:t>
            </w:r>
          </w:p>
        </w:tc>
      </w:tr>
      <w:tr w:rsidR="00E44C75" w:rsidRPr="00E44C75" w:rsidTr="00E44C75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b/>
                <w:bCs/>
                <w:kern w:val="0"/>
                <w:lang w:val="it-IT" w:eastAsia="pl-PL" w:bidi="ar-SA"/>
              </w:rPr>
              <w:t>Kategorie osób, których dane osobowe dotyczą</w:t>
            </w: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</w:tc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b/>
                <w:bCs/>
                <w:kern w:val="0"/>
                <w:lang w:val="it-IT" w:eastAsia="pl-PL" w:bidi="ar-SA"/>
              </w:rPr>
              <w:t>Proszę wskazać właściwe</w:t>
            </w: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i/>
                <w:iCs/>
                <w:kern w:val="0"/>
                <w:lang w:val="it-IT" w:eastAsia="pl-PL" w:bidi="ar-SA"/>
              </w:rPr>
              <w:t>Pracownicy, osoby zatrudnione na innej podstawie prawnej niż stosunek pracy, dostawcy, pacjenci, klienci</w:t>
            </w:r>
          </w:p>
        </w:tc>
      </w:tr>
      <w:tr w:rsidR="00E44C75" w:rsidRPr="00E44C75" w:rsidTr="00E44C75">
        <w:trPr>
          <w:tblCellSpacing w:w="0" w:type="dxa"/>
        </w:trPr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b/>
                <w:bCs/>
                <w:kern w:val="0"/>
                <w:lang w:val="it-IT" w:eastAsia="pl-PL" w:bidi="ar-SA"/>
              </w:rPr>
              <w:t>Zakres przetwarzania danych osobowych</w:t>
            </w:r>
          </w:p>
        </w:tc>
        <w:tc>
          <w:tcPr>
            <w:tcW w:w="4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b/>
                <w:bCs/>
                <w:kern w:val="0"/>
                <w:lang w:val="it-IT" w:eastAsia="pl-PL" w:bidi="ar-SA"/>
              </w:rPr>
              <w:t>Proszę wskazać właściwe</w:t>
            </w: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bookmarkStart w:id="0" w:name="_GoBack"/>
            <w:bookmarkEnd w:id="0"/>
            <w:r w:rsidRPr="00E44C75">
              <w:rPr>
                <w:rFonts w:ascii="Calibri Light" w:eastAsia="Times New Roman" w:hAnsi="Calibri Light" w:cs="Calibri Light"/>
                <w:i/>
                <w:iCs/>
                <w:kern w:val="0"/>
                <w:lang w:val="it-IT" w:eastAsia="pl-PL" w:bidi="ar-SA"/>
              </w:rPr>
              <w:t>zbieranie, utrwalanie, organizowanie, porządkowanie, przechowywanie, adaptowanie, modyfikowanie, pobieranie, przeglądanie, wykorzystywanie, dopasowywanie, łączenie, ograniczanie, usuwanie, niszczenie.</w:t>
            </w:r>
          </w:p>
        </w:tc>
      </w:tr>
    </w:tbl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6"/>
        <w:gridCol w:w="4789"/>
      </w:tblGrid>
      <w:tr w:rsidR="00E44C75" w:rsidRPr="00E44C75" w:rsidTr="00E44C75">
        <w:trPr>
          <w:tblCellSpacing w:w="0" w:type="dxa"/>
        </w:trPr>
        <w:tc>
          <w:tcPr>
            <w:tcW w:w="4185" w:type="dxa"/>
            <w:vAlign w:val="center"/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kern w:val="0"/>
                <w:lang w:val="it-IT" w:eastAsia="pl-PL" w:bidi="ar-SA"/>
              </w:rPr>
              <w:t>Procesor</w:t>
            </w:r>
          </w:p>
        </w:tc>
        <w:tc>
          <w:tcPr>
            <w:tcW w:w="4680" w:type="dxa"/>
            <w:vAlign w:val="center"/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kern w:val="0"/>
                <w:lang w:val="it-IT" w:eastAsia="pl-PL" w:bidi="ar-SA"/>
              </w:rPr>
              <w:t>Administrator</w:t>
            </w:r>
          </w:p>
        </w:tc>
      </w:tr>
      <w:tr w:rsidR="00E44C75" w:rsidRPr="00E44C75" w:rsidTr="00E44C75">
        <w:trPr>
          <w:tblCellSpacing w:w="0" w:type="dxa"/>
        </w:trPr>
        <w:tc>
          <w:tcPr>
            <w:tcW w:w="4185" w:type="dxa"/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kern w:val="0"/>
                <w:lang w:val="it-IT" w:eastAsia="pl-PL" w:bidi="ar-SA"/>
              </w:rPr>
              <w:t>___________________________________</w:t>
            </w:r>
          </w:p>
        </w:tc>
        <w:tc>
          <w:tcPr>
            <w:tcW w:w="4680" w:type="dxa"/>
            <w:hideMark/>
          </w:tcPr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kern w:val="0"/>
                <w:lang w:val="it-IT" w:eastAsia="pl-PL" w:bidi="ar-SA"/>
              </w:rPr>
            </w:pPr>
          </w:p>
          <w:p w:rsidR="00E44C75" w:rsidRPr="00E44C75" w:rsidRDefault="00E44C75" w:rsidP="00E44C75">
            <w:pPr>
              <w:widowControl/>
              <w:suppressAutoHyphens w:val="0"/>
              <w:spacing w:before="100" w:beforeAutospacing="1" w:after="119"/>
              <w:rPr>
                <w:rFonts w:eastAsia="Times New Roman" w:cs="Times New Roman"/>
                <w:kern w:val="0"/>
                <w:lang w:val="it-IT" w:eastAsia="pl-PL" w:bidi="ar-SA"/>
              </w:rPr>
            </w:pPr>
            <w:r w:rsidRPr="00E44C75">
              <w:rPr>
                <w:rFonts w:ascii="Calibri Light" w:eastAsia="Times New Roman" w:hAnsi="Calibri Light" w:cs="Calibri Light"/>
                <w:kern w:val="0"/>
                <w:lang w:val="it-IT" w:eastAsia="pl-PL" w:bidi="ar-SA"/>
              </w:rPr>
              <w:t>___________________________________</w:t>
            </w:r>
          </w:p>
        </w:tc>
      </w:tr>
    </w:tbl>
    <w:p w:rsidR="00E44C75" w:rsidRPr="00E44C75" w:rsidRDefault="00E44C75" w:rsidP="00E44C75">
      <w:pPr>
        <w:widowControl/>
        <w:suppressAutoHyphens w:val="0"/>
        <w:spacing w:before="100" w:beforeAutospacing="1"/>
        <w:rPr>
          <w:rFonts w:eastAsia="Times New Roman" w:cs="Times New Roman"/>
          <w:kern w:val="0"/>
          <w:lang w:eastAsia="pl-PL" w:bidi="ar-SA"/>
        </w:rPr>
      </w:pPr>
    </w:p>
    <w:p w:rsidR="00E44C75" w:rsidRDefault="00E44C75" w:rsidP="00E44C75">
      <w:pPr>
        <w:widowControl/>
        <w:suppressAutoHyphens w:val="0"/>
        <w:ind w:left="284"/>
        <w:jc w:val="both"/>
        <w:rPr>
          <w:rFonts w:ascii="Trebuchet MS" w:eastAsia="PFDinDisplayPro-Light" w:hAnsi="Trebuchet MS" w:cs="PFDinDisplayPro-Light"/>
          <w:kern w:val="2"/>
          <w:sz w:val="20"/>
          <w:szCs w:val="20"/>
        </w:rPr>
      </w:pPr>
    </w:p>
    <w:p w:rsidR="00E44C75" w:rsidRPr="00D71A4C" w:rsidRDefault="009C3DA0" w:rsidP="00E44C75">
      <w:pPr>
        <w:widowControl/>
        <w:suppressAutoHyphens w:val="0"/>
        <w:ind w:left="284"/>
        <w:jc w:val="both"/>
        <w:rPr>
          <w:rFonts w:ascii="Trebuchet MS" w:eastAsia="PFDinDisplayPro-Light" w:hAnsi="Trebuchet MS" w:cs="PFDinDisplayPro-Light"/>
          <w:kern w:val="2"/>
          <w:sz w:val="20"/>
          <w:szCs w:val="20"/>
        </w:rPr>
      </w:pP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ab/>
      </w: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ab/>
      </w: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ab/>
      </w: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ab/>
      </w: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ab/>
      </w: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ab/>
      </w:r>
      <w:r>
        <w:rPr>
          <w:rFonts w:ascii="Trebuchet MS" w:eastAsia="PFDinDisplayPro-Light" w:hAnsi="Trebuchet MS" w:cs="PFDinDisplayPro-Light"/>
          <w:kern w:val="2"/>
          <w:sz w:val="20"/>
          <w:szCs w:val="20"/>
        </w:rPr>
        <w:tab/>
        <w:t>Dyrektor SPZOZ w Gostyniu Jaskulska Justyna</w:t>
      </w:r>
    </w:p>
    <w:p w:rsidR="004214D5" w:rsidRDefault="004214D5"/>
    <w:sectPr w:rsidR="004214D5" w:rsidSect="0042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FDinDisplayPro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2D4"/>
    <w:multiLevelType w:val="multilevel"/>
    <w:tmpl w:val="FD1236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95884"/>
    <w:multiLevelType w:val="multilevel"/>
    <w:tmpl w:val="1CA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423F6"/>
    <w:multiLevelType w:val="multilevel"/>
    <w:tmpl w:val="BD6206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D26"/>
    <w:multiLevelType w:val="multilevel"/>
    <w:tmpl w:val="4C5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A437B"/>
    <w:multiLevelType w:val="hybridMultilevel"/>
    <w:tmpl w:val="9F4EDEE0"/>
    <w:lvl w:ilvl="0" w:tplc="CC80FA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7523"/>
    <w:multiLevelType w:val="multilevel"/>
    <w:tmpl w:val="12C44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E292B"/>
    <w:multiLevelType w:val="multilevel"/>
    <w:tmpl w:val="2D5EF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D5ED3"/>
    <w:multiLevelType w:val="multilevel"/>
    <w:tmpl w:val="3BC67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60E8E"/>
    <w:multiLevelType w:val="multilevel"/>
    <w:tmpl w:val="424833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247A9"/>
    <w:multiLevelType w:val="multilevel"/>
    <w:tmpl w:val="A3B03E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B7399"/>
    <w:multiLevelType w:val="multilevel"/>
    <w:tmpl w:val="132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556DE"/>
    <w:multiLevelType w:val="multilevel"/>
    <w:tmpl w:val="B684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21AFE"/>
    <w:multiLevelType w:val="multilevel"/>
    <w:tmpl w:val="4CFA8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10386"/>
    <w:multiLevelType w:val="multilevel"/>
    <w:tmpl w:val="933A9A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07863"/>
    <w:multiLevelType w:val="multilevel"/>
    <w:tmpl w:val="9202EA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15B15"/>
    <w:multiLevelType w:val="multilevel"/>
    <w:tmpl w:val="1ACC7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F594A"/>
    <w:multiLevelType w:val="multilevel"/>
    <w:tmpl w:val="797892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33635"/>
    <w:multiLevelType w:val="multilevel"/>
    <w:tmpl w:val="86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6E69C5"/>
    <w:multiLevelType w:val="multilevel"/>
    <w:tmpl w:val="EE1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4F78D9"/>
    <w:multiLevelType w:val="multilevel"/>
    <w:tmpl w:val="BBD6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685A"/>
    <w:multiLevelType w:val="hybridMultilevel"/>
    <w:tmpl w:val="48B2540E"/>
    <w:lvl w:ilvl="0" w:tplc="BD1A1A7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A5149"/>
    <w:multiLevelType w:val="multilevel"/>
    <w:tmpl w:val="488EF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15"/>
  </w:num>
  <w:num w:numId="5">
    <w:abstractNumId w:val="5"/>
  </w:num>
  <w:num w:numId="6">
    <w:abstractNumId w:val="21"/>
  </w:num>
  <w:num w:numId="7">
    <w:abstractNumId w:val="3"/>
  </w:num>
  <w:num w:numId="8">
    <w:abstractNumId w:val="17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11"/>
  </w:num>
  <w:num w:numId="15">
    <w:abstractNumId w:val="8"/>
  </w:num>
  <w:num w:numId="16">
    <w:abstractNumId w:val="0"/>
  </w:num>
  <w:num w:numId="17">
    <w:abstractNumId w:val="16"/>
  </w:num>
  <w:num w:numId="18">
    <w:abstractNumId w:val="1"/>
  </w:num>
  <w:num w:numId="19">
    <w:abstractNumId w:val="18"/>
  </w:num>
  <w:num w:numId="20">
    <w:abstractNumId w:val="14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31F8"/>
    <w:rsid w:val="000C1E2B"/>
    <w:rsid w:val="00147156"/>
    <w:rsid w:val="004214D5"/>
    <w:rsid w:val="004531F8"/>
    <w:rsid w:val="008C340F"/>
    <w:rsid w:val="009726DB"/>
    <w:rsid w:val="009C3DA0"/>
    <w:rsid w:val="00E44C75"/>
    <w:rsid w:val="00FB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1F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C7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758E-5391-45F5-B09B-1430457B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2019-03-04T08:43:00Z</dcterms:created>
  <dcterms:modified xsi:type="dcterms:W3CDTF">2019-03-04T08:43:00Z</dcterms:modified>
</cp:coreProperties>
</file>